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doiefu52dwnw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Capital Social de Mogán Sociocultural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capital social se fija en la cantidad de TRES MIL SÉIS EUROS (3.006,00€) dividido en CIEN (100) PARTICIPACIONES iguales, y acumulables en  indivisibles de treinta euros con seis céntimos de euro (30,06€) cada una de ellas, completamente suscritas y desembolsadas, e intransferibles de su único titular el Ayuntamiento de Mogán.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